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FA" w:rsidRPr="000D6CFA" w:rsidRDefault="000D6CFA" w:rsidP="000D6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ФЕДЕРАЛЬНОЕ АГЕНТСТВО ЖЕЛЕЗНОДОРОЖНОГО ТРАНСПОРТА</w:t>
      </w:r>
    </w:p>
    <w:p w:rsidR="00D80367" w:rsidRDefault="00D80367" w:rsidP="000D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FA" w:rsidRPr="000D6CFA" w:rsidRDefault="000D6CFA" w:rsidP="000D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D6CFA" w:rsidRPr="000D6CFA" w:rsidRDefault="000D6CFA" w:rsidP="000D6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0D6CFA" w:rsidRPr="000D6CFA" w:rsidRDefault="000D6CFA" w:rsidP="000D6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Императора Александра </w:t>
      </w:r>
      <w:r w:rsidRPr="000D6C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D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0D6CFA" w:rsidRPr="000D6CFA" w:rsidRDefault="000D6CFA" w:rsidP="000D6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ПГУПС)</w:t>
      </w:r>
    </w:p>
    <w:p w:rsidR="000D6CFA" w:rsidRPr="000D6CFA" w:rsidRDefault="000D6CFA" w:rsidP="000D6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Калужский филиал  ПГУПС </w:t>
      </w:r>
    </w:p>
    <w:p w:rsidR="000D6CFA" w:rsidRPr="000D6CFA" w:rsidRDefault="000D6CFA" w:rsidP="000D6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FA" w:rsidRPr="000D6CFA" w:rsidRDefault="000D6CFA" w:rsidP="000D6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FA" w:rsidRPr="000D6CFA" w:rsidRDefault="000D6CFA" w:rsidP="00D80367">
      <w:pPr>
        <w:tabs>
          <w:tab w:val="center" w:pos="3969"/>
          <w:tab w:val="left" w:pos="552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0D6CFA" w:rsidRPr="000D6CFA" w:rsidRDefault="000D6CFA" w:rsidP="00D80367">
      <w:pPr>
        <w:tabs>
          <w:tab w:val="center" w:pos="3969"/>
          <w:tab w:val="left" w:pos="552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учебной работе</w:t>
      </w:r>
    </w:p>
    <w:p w:rsidR="000D6CFA" w:rsidRPr="000D6CFA" w:rsidRDefault="000D6CFA" w:rsidP="00D80367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А.В.</w:t>
      </w:r>
      <w:r w:rsidR="00E12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Полевой</w:t>
      </w:r>
    </w:p>
    <w:p w:rsidR="000D6CFA" w:rsidRPr="000D6CFA" w:rsidRDefault="000D6CFA" w:rsidP="00D80367">
      <w:pPr>
        <w:tabs>
          <w:tab w:val="left" w:pos="5529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0D6C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</w:t>
      </w:r>
      <w:r w:rsidR="001B32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 __________ 20</w:t>
      </w:r>
      <w:r w:rsidRPr="000D6C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__г</w:t>
      </w: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CFA" w:rsidRPr="000D6CFA" w:rsidRDefault="000D6CFA" w:rsidP="000D6CFA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FA" w:rsidRPr="000D6CFA" w:rsidRDefault="000D6CFA" w:rsidP="000D6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FA" w:rsidRPr="000D6CFA" w:rsidRDefault="000D6CFA" w:rsidP="000D6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FA" w:rsidRPr="000D6CFA" w:rsidRDefault="000D6CFA" w:rsidP="000D6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FA" w:rsidRPr="000D6CFA" w:rsidRDefault="000D6CFA" w:rsidP="000D6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FA" w:rsidRPr="000D6CFA" w:rsidRDefault="000D6CFA" w:rsidP="000D6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CFA" w:rsidRPr="000D6CFA" w:rsidRDefault="000D6CFA" w:rsidP="000D6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0D6CFA" w:rsidRPr="000D6CFA" w:rsidRDefault="000D6CFA" w:rsidP="000D6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CFA" w:rsidRPr="00D80367" w:rsidRDefault="000D6CFA" w:rsidP="000D6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8036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ОП.08 Правовое обеспечение профессиональной деятельности  </w:t>
      </w:r>
    </w:p>
    <w:p w:rsidR="000D6CFA" w:rsidRPr="000D6CFA" w:rsidRDefault="000D6CFA" w:rsidP="000D6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CFA" w:rsidRPr="00FD53D1" w:rsidRDefault="000D6CFA" w:rsidP="000D6CFA">
      <w:pPr>
        <w:tabs>
          <w:tab w:val="center" w:pos="4677"/>
          <w:tab w:val="left" w:pos="71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53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специальности</w:t>
      </w:r>
    </w:p>
    <w:p w:rsidR="000D6CFA" w:rsidRPr="00FD53D1" w:rsidRDefault="000D6CFA" w:rsidP="000D6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23.02.04 Техническая эксплуатация подъемно-транспортных, строительных, дорожных машин и оборудования (по отраслям) </w:t>
      </w:r>
    </w:p>
    <w:p w:rsidR="000D6CFA" w:rsidRPr="000D6CFA" w:rsidRDefault="000D6CFA" w:rsidP="000D6C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CFA" w:rsidRPr="000D6CFA" w:rsidRDefault="000D6CFA" w:rsidP="000D6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</w:t>
      </w:r>
      <w:r w:rsidRPr="000D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Техник </w:t>
      </w:r>
    </w:p>
    <w:p w:rsidR="000D6CFA" w:rsidRPr="000D6CFA" w:rsidRDefault="000D6CFA" w:rsidP="000D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подготовки - </w:t>
      </w:r>
      <w:proofErr w:type="gramStart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</w:t>
      </w:r>
      <w:proofErr w:type="gramEnd"/>
    </w:p>
    <w:p w:rsidR="000D6CFA" w:rsidRPr="000D6CFA" w:rsidRDefault="000D6CFA" w:rsidP="000D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FA" w:rsidRPr="000D6CFA" w:rsidRDefault="000D6CFA" w:rsidP="000D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FA" w:rsidRPr="000D6CFA" w:rsidRDefault="000D6CFA" w:rsidP="000D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FA" w:rsidRPr="000D6CFA" w:rsidRDefault="000D6CFA" w:rsidP="000D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0D6CFA" w:rsidRPr="000D6CFA" w:rsidRDefault="000D6CFA" w:rsidP="000D6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FA" w:rsidRPr="000D6CFA" w:rsidRDefault="000D6CFA" w:rsidP="000D6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FA" w:rsidRPr="000D6CFA" w:rsidRDefault="000D6CFA" w:rsidP="000D6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FA" w:rsidRPr="000D6CFA" w:rsidRDefault="000D6CFA" w:rsidP="000D6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FA" w:rsidRPr="000D6CFA" w:rsidRDefault="000D6CFA" w:rsidP="000D6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CFA" w:rsidRPr="000D6CFA" w:rsidRDefault="000D6CFA" w:rsidP="000D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Калуга</w:t>
      </w:r>
    </w:p>
    <w:p w:rsidR="000D6CFA" w:rsidRDefault="00806550" w:rsidP="000D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936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FD53D1" w:rsidRDefault="00FD53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D53D1" w:rsidRPr="000D6CFA" w:rsidRDefault="00FD53D1" w:rsidP="000D6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836" w:type="dxa"/>
        <w:tblLook w:val="04A0" w:firstRow="1" w:lastRow="0" w:firstColumn="1" w:lastColumn="0" w:noHBand="0" w:noVBand="1"/>
      </w:tblPr>
      <w:tblGrid>
        <w:gridCol w:w="7338"/>
        <w:gridCol w:w="3498"/>
      </w:tblGrid>
      <w:tr w:rsidR="000D6CFA" w:rsidRPr="00C32271" w:rsidTr="00FD53D1">
        <w:tc>
          <w:tcPr>
            <w:tcW w:w="7338" w:type="dxa"/>
            <w:hideMark/>
          </w:tcPr>
          <w:p w:rsidR="000D6CFA" w:rsidRPr="00C32271" w:rsidRDefault="000D6CFA" w:rsidP="00D8036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на заседании цикловой комиссии специальных дисциплин специальности 23.02.04 Техническая эксплуатация подъемно- транспортных, строительных, дорожных машин и оборудования   </w:t>
            </w:r>
          </w:p>
          <w:p w:rsidR="000D6CFA" w:rsidRPr="00C32271" w:rsidRDefault="000D6CFA" w:rsidP="00D8036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0D6CFA" w:rsidRPr="00C32271" w:rsidRDefault="000D6CFA" w:rsidP="00D8036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  от «____»___________20___г.</w:t>
            </w:r>
          </w:p>
          <w:p w:rsidR="000D6CFA" w:rsidRPr="00C32271" w:rsidRDefault="000D6CFA" w:rsidP="00D8036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цикловой комиссии  _______________ А.И.</w:t>
            </w:r>
            <w:r w:rsidR="00C3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Варламов </w:t>
            </w:r>
          </w:p>
        </w:tc>
        <w:tc>
          <w:tcPr>
            <w:tcW w:w="3498" w:type="dxa"/>
          </w:tcPr>
          <w:p w:rsidR="000D6CFA" w:rsidRPr="00C32271" w:rsidRDefault="000D6CFA" w:rsidP="00FD53D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CFA" w:rsidRPr="000D6CFA" w:rsidRDefault="000D6CFA" w:rsidP="000D6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FA" w:rsidRDefault="000D6CFA" w:rsidP="000D6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67" w:rsidRPr="000D6CFA" w:rsidRDefault="00D80367" w:rsidP="000D6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FA" w:rsidRPr="000D6CFA" w:rsidRDefault="000D6CFA" w:rsidP="000D6C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учебной дисциплиныОП.08 Правовое обеспечение профессиональной деятельности</w:t>
      </w:r>
      <w:r w:rsidRPr="000D6CF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0D6CFA"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  <w:t xml:space="preserve"> </w:t>
      </w:r>
      <w:r w:rsidRPr="000D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специальности:  23.02.04 Техническая эксплуатация подъемно- транспортных</w:t>
      </w:r>
      <w:proofErr w:type="gramStart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строительных, дорожных машин и оборудования</w:t>
      </w:r>
      <w:r w:rsidR="00D8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отраслям) (базовая подготовка), утвержденного приказом Министерства образования и науки РФ </w:t>
      </w:r>
      <w:r w:rsidR="00E12283" w:rsidRPr="00E12283">
        <w:rPr>
          <w:rFonts w:ascii="Times New Roman" w:eastAsia="Arial Unicode MS" w:hAnsi="Times New Roman" w:cs="Times New Roman"/>
          <w:color w:val="000000"/>
          <w:sz w:val="28"/>
          <w:szCs w:val="28"/>
        </w:rPr>
        <w:t>№ 45 от 23.01.2018 г.</w:t>
      </w:r>
    </w:p>
    <w:p w:rsidR="000D6CFA" w:rsidRDefault="000D6CFA" w:rsidP="000D6CFA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67" w:rsidRDefault="00D80367" w:rsidP="000D6CFA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67" w:rsidRDefault="00D80367" w:rsidP="000D6CFA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367" w:rsidRPr="000D6CFA" w:rsidRDefault="00D80367" w:rsidP="000D6CFA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FA" w:rsidRPr="000D6CFA" w:rsidRDefault="000D6CFA" w:rsidP="000D6CFA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FA" w:rsidRPr="000D6CFA" w:rsidRDefault="000D6CFA" w:rsidP="000D6CFA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FA" w:rsidRPr="000D6CFA" w:rsidRDefault="000D6CFA" w:rsidP="000D6CFA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 программы: </w:t>
      </w:r>
    </w:p>
    <w:p w:rsidR="000D6CFA" w:rsidRPr="000D6CFA" w:rsidRDefault="000D6CFA" w:rsidP="00FD53D1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Гулина Татьяна Васильевн</w:t>
      </w:r>
      <w:proofErr w:type="gramStart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 Калужского филиала ПГУПС </w:t>
      </w:r>
    </w:p>
    <w:p w:rsidR="00FD53D1" w:rsidRDefault="00FD53D1" w:rsidP="000D6C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D53D1" w:rsidRDefault="00FD53D1" w:rsidP="000D6C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D53D1" w:rsidRDefault="00FD53D1" w:rsidP="000D6C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D53D1" w:rsidRDefault="00FD53D1" w:rsidP="000D6C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D53D1" w:rsidRDefault="00FD53D1" w:rsidP="000D6C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D53D1" w:rsidRPr="000D6CFA" w:rsidRDefault="00FD53D1" w:rsidP="000D6C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D6CFA" w:rsidRPr="000D6CFA" w:rsidRDefault="000D6CFA" w:rsidP="000D6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Рецензенты:</w:t>
      </w:r>
    </w:p>
    <w:p w:rsidR="000D6CFA" w:rsidRPr="000D6CFA" w:rsidRDefault="000D6CFA" w:rsidP="000D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FA" w:rsidRPr="000D6CFA" w:rsidRDefault="000D6CFA" w:rsidP="00FD53D1">
      <w:pPr>
        <w:tabs>
          <w:tab w:val="left" w:pos="13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И.О., преподаватель  </w:t>
      </w:r>
      <w:r w:rsidR="00FD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Калужского </w:t>
      </w: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 ПГУПС </w:t>
      </w:r>
      <w:r w:rsidRPr="000D6C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(внутренний рецензент)</w:t>
      </w:r>
    </w:p>
    <w:p w:rsidR="000D6CFA" w:rsidRPr="000D6CFA" w:rsidRDefault="000D6CFA" w:rsidP="000D6C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CFA" w:rsidRPr="000D6CFA" w:rsidRDefault="000D6CFA" w:rsidP="000D6CFA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И.О., должность и место работы внешнего рецензента</w:t>
      </w:r>
    </w:p>
    <w:p w:rsidR="00FD53D1" w:rsidRDefault="00FD53D1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FD53D1" w:rsidRDefault="00FD53D1" w:rsidP="00FD5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D6CFA" w:rsidRPr="000D6CFA" w:rsidRDefault="000D6CFA" w:rsidP="00FD5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D6CF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СОДЕРЖАНИЕ</w:t>
      </w:r>
    </w:p>
    <w:p w:rsidR="000D6CFA" w:rsidRPr="000D6CFA" w:rsidRDefault="000D6CFA" w:rsidP="00FD5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16"/>
        <w:gridCol w:w="1937"/>
      </w:tblGrid>
      <w:tr w:rsidR="000D6CFA" w:rsidRPr="000D6CFA" w:rsidTr="002014D4">
        <w:trPr>
          <w:trHeight w:val="318"/>
        </w:trPr>
        <w:tc>
          <w:tcPr>
            <w:tcW w:w="7918" w:type="dxa"/>
            <w:shd w:val="clear" w:color="auto" w:fill="auto"/>
          </w:tcPr>
          <w:p w:rsidR="000D6CFA" w:rsidRPr="000D6CFA" w:rsidRDefault="000D6CFA" w:rsidP="00FD53D1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0D6CFA" w:rsidRPr="000D6CFA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6CFA" w:rsidRPr="000D6CFA" w:rsidTr="002014D4">
        <w:trPr>
          <w:trHeight w:val="901"/>
        </w:trPr>
        <w:tc>
          <w:tcPr>
            <w:tcW w:w="7918" w:type="dxa"/>
            <w:shd w:val="clear" w:color="auto" w:fill="auto"/>
          </w:tcPr>
          <w:p w:rsidR="000D6CFA" w:rsidRPr="000D6CFA" w:rsidRDefault="000D6CFA" w:rsidP="00FD53D1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D6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ОБЩАЯ ХАРАКТЕРИСТИКА РАБОЧЕЙ </w:t>
            </w:r>
            <w:r w:rsidRPr="000D6CFA"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>ПРОГРАММЫ</w:t>
            </w:r>
            <w:r w:rsidRPr="000D6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УЧЕБНОЙ ДИСЦИПЛИНЫ</w:t>
            </w:r>
          </w:p>
          <w:p w:rsidR="000D6CFA" w:rsidRPr="000D6CFA" w:rsidRDefault="000D6CFA" w:rsidP="00FD53D1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0D6CFA" w:rsidRPr="000D6CFA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0D6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D6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</w:tr>
      <w:tr w:rsidR="000D6CFA" w:rsidRPr="000D6CFA" w:rsidTr="002014D4">
        <w:trPr>
          <w:trHeight w:val="984"/>
        </w:trPr>
        <w:tc>
          <w:tcPr>
            <w:tcW w:w="7918" w:type="dxa"/>
            <w:shd w:val="clear" w:color="auto" w:fill="auto"/>
          </w:tcPr>
          <w:p w:rsidR="000D6CFA" w:rsidRPr="000D6CFA" w:rsidRDefault="000D6CFA" w:rsidP="00FD53D1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  <w:r w:rsidRPr="000D6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СТРУКТУРА</w:t>
            </w:r>
            <w:r w:rsidRPr="000D6CFA"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 xml:space="preserve"> и содержание учебноЙ ДИСЦИПЛИНЫ</w:t>
            </w:r>
          </w:p>
          <w:p w:rsidR="000D6CFA" w:rsidRPr="000D6CFA" w:rsidRDefault="000D6CFA" w:rsidP="00FD53D1">
            <w:pPr>
              <w:keepNext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0D6CFA" w:rsidRPr="004F0703" w:rsidRDefault="004F0703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0D6CFA" w:rsidRPr="000D6CFA" w:rsidTr="002014D4">
        <w:trPr>
          <w:trHeight w:val="683"/>
        </w:trPr>
        <w:tc>
          <w:tcPr>
            <w:tcW w:w="7918" w:type="dxa"/>
            <w:shd w:val="clear" w:color="auto" w:fill="auto"/>
          </w:tcPr>
          <w:p w:rsidR="000D6CFA" w:rsidRPr="000D6CFA" w:rsidRDefault="000D6CFA" w:rsidP="00FD53D1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  <w:r w:rsidRPr="000D6CFA"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>условия реализации учебноЙ ДИСЦИПЛИНЫ</w:t>
            </w:r>
          </w:p>
          <w:p w:rsidR="000D6CFA" w:rsidRPr="000D6CFA" w:rsidRDefault="000D6CFA" w:rsidP="00FD53D1">
            <w:pPr>
              <w:keepNext/>
              <w:tabs>
                <w:tab w:val="num" w:pos="0"/>
              </w:tabs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0D6CFA" w:rsidRPr="004F0703" w:rsidRDefault="000D6CFA" w:rsidP="004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  <w:r w:rsidR="004F0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0D6CFA" w:rsidRPr="000D6CFA" w:rsidTr="002014D4">
        <w:trPr>
          <w:trHeight w:val="984"/>
        </w:trPr>
        <w:tc>
          <w:tcPr>
            <w:tcW w:w="7918" w:type="dxa"/>
            <w:shd w:val="clear" w:color="auto" w:fill="auto"/>
          </w:tcPr>
          <w:p w:rsidR="000D6CFA" w:rsidRPr="000D6CFA" w:rsidRDefault="000D6CFA" w:rsidP="00FD53D1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  <w:r w:rsidRPr="000D6CFA"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  <w:t>Контроль и оценка результатов Освоения учебноЙ ДИСЦИПЛИНЫ</w:t>
            </w:r>
          </w:p>
          <w:p w:rsidR="000D6CFA" w:rsidRPr="000D6CFA" w:rsidRDefault="000D6CFA" w:rsidP="00FD53D1">
            <w:pPr>
              <w:keepNext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0"/>
                <w:lang w:eastAsia="ru-RU"/>
              </w:rPr>
            </w:pPr>
          </w:p>
        </w:tc>
        <w:tc>
          <w:tcPr>
            <w:tcW w:w="1937" w:type="dxa"/>
            <w:shd w:val="clear" w:color="auto" w:fill="auto"/>
          </w:tcPr>
          <w:p w:rsidR="000D6CFA" w:rsidRPr="000D6CFA" w:rsidRDefault="000D6CFA" w:rsidP="004F0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6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  <w:r w:rsidR="004F07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0D6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D6CFA" w:rsidRPr="000D6CFA" w:rsidRDefault="000D6CFA" w:rsidP="00FD5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0D6C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0D6C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0D6C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0D6C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0D6C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0D6C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0D6C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0D6C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0D6C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0D6C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0D6C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0D6C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0D6C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0D6C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0D6C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0D6C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0D6C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0D6C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0D6C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0D6C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0D6C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0D6C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0D6C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D80367">
      <w:pPr>
        <w:keepNext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0D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 РАБОЧЕЙ ПРОГРАММЫ УЧЕБНОЙ ДИСЦИПЛИНЫ</w:t>
      </w:r>
    </w:p>
    <w:p w:rsidR="000D6CFA" w:rsidRPr="000D6CFA" w:rsidRDefault="000D6CFA" w:rsidP="00FD5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CFA" w:rsidRPr="000D6CFA" w:rsidRDefault="000D6CFA" w:rsidP="00FD53D1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D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рабочей программы</w:t>
      </w:r>
    </w:p>
    <w:p w:rsidR="000D6CFA" w:rsidRPr="000D6CFA" w:rsidRDefault="000D6CFA" w:rsidP="00FD5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</w:t>
      </w:r>
      <w:r w:rsidRPr="000D6CF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частью программы подготовки специалистов среднего звена в соответствии с ФГОС СПО по специальности 23.02.04  Техническая эксплуатация подъемно-транспортных,  строительных, дорожных машин и оборудования (по отраслям) (базовая подготовка).</w:t>
      </w:r>
    </w:p>
    <w:p w:rsidR="000D6CFA" w:rsidRPr="000D6CFA" w:rsidRDefault="000D6CFA" w:rsidP="00FD5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6CFA" w:rsidRPr="000D6CFA" w:rsidRDefault="000D6CFA" w:rsidP="00FD5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</w:p>
    <w:p w:rsidR="000D6CFA" w:rsidRPr="000D6CFA" w:rsidRDefault="000D6CFA" w:rsidP="00FD5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ОП.08  Правовое обеспечение профессиональной деятельности</w:t>
      </w:r>
      <w:r w:rsidRPr="000D6C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обязательной частью профессионально</w:t>
      </w:r>
      <w:r w:rsidR="00D803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</w:t>
      </w:r>
      <w:r w:rsidR="00D803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подготовки специалистов среднего звена в соответствии с ФГОС СПО по специальности 23.02.04  Техническая эксплуатация подъемно- транспортных, строительных, дорожных машин и оборудования (по отраслям) </w:t>
      </w:r>
      <w:r w:rsidRPr="000D6C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0D6CFA" w:rsidRPr="000D6CFA" w:rsidRDefault="000D6CFA" w:rsidP="00FD5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D6CFA" w:rsidRPr="000D6CFA" w:rsidRDefault="000D6CFA" w:rsidP="00FD53D1">
      <w:pPr>
        <w:numPr>
          <w:ilvl w:val="1"/>
          <w:numId w:val="3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 планируемые результаты освоения дисциплины </w:t>
      </w:r>
    </w:p>
    <w:p w:rsidR="000D6CFA" w:rsidRPr="000D6CFA" w:rsidRDefault="000D6CFA" w:rsidP="00FD5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ОП. Правовое обеспечение профессиональной деятельности обеспечивает формирование общих и профессиональных компетенций по всем основным видам деятельности ФГОС СПО по специальности</w:t>
      </w:r>
      <w:r w:rsidR="00D8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23.02.04 Техническая экспл</w:t>
      </w:r>
      <w:r w:rsidR="00FD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уатация подъемно-транспортных, </w:t>
      </w: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строительных, дорожных маш</w:t>
      </w:r>
      <w:r w:rsidR="00FD5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 и оборудования (по отраслям). </w:t>
      </w: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дисциплина имеет при формировании и развитии: </w:t>
      </w:r>
      <w:r w:rsidRPr="000D6C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коды компетенций</w:t>
      </w: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CFA" w:rsidRDefault="000D6CFA" w:rsidP="00FD5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учебной дисциплины </w:t>
      </w:r>
      <w:proofErr w:type="gramStart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осваиваются умения и знания:</w:t>
      </w:r>
    </w:p>
    <w:p w:rsidR="00D80367" w:rsidRPr="000D6CFA" w:rsidRDefault="00D80367" w:rsidP="00FD5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0"/>
        <w:gridCol w:w="2988"/>
        <w:gridCol w:w="3778"/>
      </w:tblGrid>
      <w:tr w:rsidR="000D6CFA" w:rsidRPr="000D6CFA" w:rsidTr="002014D4">
        <w:trPr>
          <w:trHeight w:val="649"/>
        </w:trPr>
        <w:tc>
          <w:tcPr>
            <w:tcW w:w="662" w:type="pct"/>
            <w:vAlign w:val="center"/>
          </w:tcPr>
          <w:p w:rsidR="000D6CFA" w:rsidRPr="000D6CFA" w:rsidRDefault="000D6CFA" w:rsidP="000D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D6CFA" w:rsidRPr="000D6CFA" w:rsidRDefault="000D6CFA" w:rsidP="000D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0D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1838" w:type="pct"/>
            <w:vAlign w:val="center"/>
          </w:tcPr>
          <w:p w:rsidR="000D6CFA" w:rsidRPr="000D6CFA" w:rsidRDefault="000D6CFA" w:rsidP="000D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499" w:type="pct"/>
            <w:vAlign w:val="center"/>
          </w:tcPr>
          <w:p w:rsidR="000D6CFA" w:rsidRPr="000D6CFA" w:rsidRDefault="000D6CFA" w:rsidP="000D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0D6CFA" w:rsidRPr="000D6CFA" w:rsidTr="002014D4">
        <w:trPr>
          <w:trHeight w:val="913"/>
        </w:trPr>
        <w:tc>
          <w:tcPr>
            <w:tcW w:w="662" w:type="pct"/>
          </w:tcPr>
          <w:p w:rsidR="000D6CFA" w:rsidRPr="000D6CFA" w:rsidRDefault="000D6CFA" w:rsidP="000D6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ОК01,ОК02-ОК05,  ОК06,ОК10,ПК</w:t>
            </w:r>
            <w:proofErr w:type="gramStart"/>
            <w:r w:rsidRPr="000D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0D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.3,ПК2.4.   </w:t>
            </w:r>
          </w:p>
          <w:p w:rsidR="000D6CFA" w:rsidRPr="000D6CFA" w:rsidRDefault="000D6CFA" w:rsidP="002746B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ПК3.1-ПК-3.7. </w:t>
            </w:r>
          </w:p>
        </w:tc>
        <w:tc>
          <w:tcPr>
            <w:tcW w:w="1838" w:type="pct"/>
          </w:tcPr>
          <w:p w:rsidR="000D6CFA" w:rsidRPr="000D6CFA" w:rsidRDefault="000D6CFA" w:rsidP="000D6C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защищать свои права в соответствии с трудовым законодательством;   </w:t>
            </w:r>
          </w:p>
          <w:p w:rsidR="000D6CFA" w:rsidRPr="000D6CFA" w:rsidRDefault="000D6CFA" w:rsidP="00FD53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-осуществлять </w:t>
            </w:r>
            <w:proofErr w:type="spellStart"/>
            <w:r w:rsidRPr="000D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Start"/>
            <w:r w:rsidRPr="000D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D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еятельность</w:t>
            </w:r>
            <w:proofErr w:type="spellEnd"/>
            <w:r w:rsidRPr="000D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законодательством РФ(анализировать и оценивать результаты и последствия деятельности(бездействия) с правовой точки зрения; использовать нормативно-правовые акты, регламентирующие профессиональную деятельность)  </w:t>
            </w:r>
          </w:p>
        </w:tc>
        <w:tc>
          <w:tcPr>
            <w:tcW w:w="2499" w:type="pct"/>
          </w:tcPr>
          <w:p w:rsidR="000D6CFA" w:rsidRPr="000D6CFA" w:rsidRDefault="000D6CFA" w:rsidP="000D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FA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права и обязанности работников в сфере</w:t>
            </w:r>
            <w:r w:rsidR="00FD5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профессиональной деятельности;</w:t>
            </w:r>
          </w:p>
          <w:p w:rsidR="000D6CFA" w:rsidRPr="000D6CFA" w:rsidRDefault="000D6CFA" w:rsidP="000D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CFA">
              <w:rPr>
                <w:rFonts w:ascii="Times New Roman" w:eastAsia="Times New Roman" w:hAnsi="Times New Roman" w:cs="Times New Roman"/>
                <w:sz w:val="24"/>
                <w:szCs w:val="24"/>
              </w:rPr>
              <w:t>-законодательные  акты и другие нормативные   документы, регулирующие правоотношения в процессе профессиональной деятельност</w:t>
            </w:r>
            <w:proofErr w:type="gramStart"/>
            <w:r w:rsidRPr="000D6CFA">
              <w:rPr>
                <w:rFonts w:ascii="Times New Roman" w:eastAsia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0D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положения Конституции   РФ, Трудового кодекса РФ, Федерального закона « О железнодорожном транспорте в РФ»,ФЗ «Устав железнодорожного транспорта»  </w:t>
            </w:r>
          </w:p>
          <w:p w:rsidR="000D6CFA" w:rsidRPr="000D6CFA" w:rsidRDefault="000D6CFA" w:rsidP="000D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CFA" w:rsidRPr="000D6CFA" w:rsidRDefault="000D6CFA" w:rsidP="00FD53D1">
      <w:pPr>
        <w:numPr>
          <w:ilvl w:val="1"/>
          <w:numId w:val="4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Количество часов на освоение рабочей программы учебной дисциплины:</w:t>
      </w:r>
    </w:p>
    <w:p w:rsidR="000D6CFA" w:rsidRPr="000D6CFA" w:rsidRDefault="000D6CFA" w:rsidP="00FD5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образовательной программы обучающегося 42 часа,    в том числе:</w:t>
      </w:r>
    </w:p>
    <w:p w:rsidR="000D6CFA" w:rsidRPr="000D6CFA" w:rsidRDefault="000D6CFA" w:rsidP="00FD5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часть </w:t>
      </w:r>
      <w:r w:rsidRPr="003C25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C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 </w:t>
      </w: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часов;    </w:t>
      </w:r>
    </w:p>
    <w:p w:rsidR="000D6CFA" w:rsidRPr="000D6CFA" w:rsidRDefault="006C3DF7" w:rsidP="00FD5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 –  10</w:t>
      </w:r>
      <w:r w:rsidR="000D6CFA"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  </w:t>
      </w:r>
    </w:p>
    <w:p w:rsidR="000D6CFA" w:rsidRPr="000D6CFA" w:rsidRDefault="000D6CFA" w:rsidP="00FD5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часов рабочей программы за счет часов вариативной части направлено на расширение (углубление)</w:t>
      </w:r>
      <w:r w:rsidRPr="000D6C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знаний по разделам программы.</w:t>
      </w:r>
    </w:p>
    <w:p w:rsidR="000D6CFA" w:rsidRPr="000D6CFA" w:rsidRDefault="000D6CFA" w:rsidP="00FD5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образовательной программы обучающегося –42 часа, в том числе:</w:t>
      </w:r>
    </w:p>
    <w:p w:rsidR="000D6CFA" w:rsidRPr="000D6CFA" w:rsidRDefault="000D6CFA" w:rsidP="00FD5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работы обучающихся во вз</w:t>
      </w:r>
      <w:r w:rsidR="006C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аимодействии с преподавателем–40 </w:t>
      </w: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</w:p>
    <w:p w:rsidR="000D6CFA" w:rsidRPr="000D6CFA" w:rsidRDefault="000D6CFA" w:rsidP="00FD5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</w:t>
      </w:r>
      <w:r w:rsidR="006C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оятельной работы обучающегося –2 </w:t>
      </w: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часа.  </w:t>
      </w:r>
    </w:p>
    <w:p w:rsidR="00FD53D1" w:rsidRDefault="00FD53D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D6CFA" w:rsidRPr="000D6CFA" w:rsidRDefault="000D6CFA" w:rsidP="000D6CF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CFA" w:rsidRPr="000D6CFA" w:rsidRDefault="000D6CFA" w:rsidP="00D8036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0D6CFA" w:rsidRPr="000D6CFA" w:rsidRDefault="000D6CFA" w:rsidP="00D8036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0D6CFA" w:rsidRPr="000D6CFA" w:rsidTr="002014D4">
        <w:trPr>
          <w:trHeight w:val="210"/>
        </w:trPr>
        <w:tc>
          <w:tcPr>
            <w:tcW w:w="4075" w:type="pct"/>
            <w:vAlign w:val="center"/>
          </w:tcPr>
          <w:p w:rsidR="000D6CFA" w:rsidRPr="000D6CFA" w:rsidRDefault="000D6CFA" w:rsidP="00FD53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:rsidR="000D6CFA" w:rsidRPr="000D6CFA" w:rsidRDefault="000D6CFA" w:rsidP="00FD53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D6C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0D6CFA" w:rsidRPr="000D6CFA" w:rsidTr="002014D4">
        <w:trPr>
          <w:trHeight w:val="345"/>
        </w:trPr>
        <w:tc>
          <w:tcPr>
            <w:tcW w:w="4075" w:type="pct"/>
            <w:vAlign w:val="center"/>
          </w:tcPr>
          <w:p w:rsidR="000D6CFA" w:rsidRPr="000D6CFA" w:rsidRDefault="000D6CFA" w:rsidP="00FD53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:rsidR="000D6CFA" w:rsidRPr="000D6CFA" w:rsidRDefault="000D6CFA" w:rsidP="00FD53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D6C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42 </w:t>
            </w:r>
          </w:p>
        </w:tc>
      </w:tr>
      <w:tr w:rsidR="000D6CFA" w:rsidRPr="000D6CFA" w:rsidTr="002014D4">
        <w:trPr>
          <w:trHeight w:val="351"/>
        </w:trPr>
        <w:tc>
          <w:tcPr>
            <w:tcW w:w="5000" w:type="pct"/>
            <w:gridSpan w:val="2"/>
            <w:vAlign w:val="center"/>
          </w:tcPr>
          <w:p w:rsidR="000D6CFA" w:rsidRPr="000D6CFA" w:rsidRDefault="000D6CFA" w:rsidP="00FD53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D6CFA" w:rsidRPr="000D6CFA" w:rsidTr="002014D4">
        <w:trPr>
          <w:trHeight w:val="200"/>
        </w:trPr>
        <w:tc>
          <w:tcPr>
            <w:tcW w:w="4075" w:type="pct"/>
            <w:vAlign w:val="center"/>
          </w:tcPr>
          <w:p w:rsidR="000D6CFA" w:rsidRPr="000D6CFA" w:rsidRDefault="000D6CFA" w:rsidP="00FD53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:rsidR="000D6CFA" w:rsidRPr="000D6CFA" w:rsidRDefault="006C3DF7" w:rsidP="00FD53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</w:tr>
      <w:tr w:rsidR="000D6CFA" w:rsidRPr="000D6CFA" w:rsidTr="002014D4">
        <w:trPr>
          <w:trHeight w:val="348"/>
        </w:trPr>
        <w:tc>
          <w:tcPr>
            <w:tcW w:w="4075" w:type="pct"/>
            <w:vAlign w:val="center"/>
          </w:tcPr>
          <w:p w:rsidR="000D6CFA" w:rsidRPr="000D6CFA" w:rsidRDefault="000D6CFA" w:rsidP="00FD53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925" w:type="pct"/>
            <w:vAlign w:val="center"/>
          </w:tcPr>
          <w:p w:rsidR="000D6CFA" w:rsidRPr="000D6CFA" w:rsidRDefault="000D6CFA" w:rsidP="00FD53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6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</w:p>
        </w:tc>
      </w:tr>
      <w:tr w:rsidR="000D6CFA" w:rsidRPr="000D6CFA" w:rsidTr="002014D4">
        <w:trPr>
          <w:trHeight w:val="199"/>
        </w:trPr>
        <w:tc>
          <w:tcPr>
            <w:tcW w:w="4075" w:type="pct"/>
            <w:vAlign w:val="center"/>
          </w:tcPr>
          <w:p w:rsidR="000D6CFA" w:rsidRPr="000D6CFA" w:rsidRDefault="000D6CFA" w:rsidP="00FD53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:rsidR="000D6CFA" w:rsidRPr="000D6CFA" w:rsidRDefault="000D6CFA" w:rsidP="00FD53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6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0D6CFA" w:rsidRPr="000D6CFA" w:rsidTr="002014D4">
        <w:trPr>
          <w:trHeight w:val="205"/>
        </w:trPr>
        <w:tc>
          <w:tcPr>
            <w:tcW w:w="4075" w:type="pct"/>
            <w:vAlign w:val="center"/>
          </w:tcPr>
          <w:p w:rsidR="000D6CFA" w:rsidRPr="000D6CFA" w:rsidRDefault="000D6CFA" w:rsidP="00FD53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925" w:type="pct"/>
            <w:vAlign w:val="center"/>
          </w:tcPr>
          <w:p w:rsidR="000D6CFA" w:rsidRPr="000D6CFA" w:rsidRDefault="000D6CFA" w:rsidP="00FD53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6C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</w:t>
            </w:r>
          </w:p>
        </w:tc>
      </w:tr>
      <w:tr w:rsidR="000D6CFA" w:rsidRPr="000D6CFA" w:rsidTr="002014D4">
        <w:trPr>
          <w:trHeight w:val="281"/>
        </w:trPr>
        <w:tc>
          <w:tcPr>
            <w:tcW w:w="4075" w:type="pct"/>
            <w:vAlign w:val="center"/>
          </w:tcPr>
          <w:p w:rsidR="000D6CFA" w:rsidRPr="000D6CFA" w:rsidRDefault="000D6CFA" w:rsidP="00FD53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0D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0D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5" w:type="pct"/>
            <w:vAlign w:val="center"/>
          </w:tcPr>
          <w:p w:rsidR="000D6CFA" w:rsidRPr="000D6CFA" w:rsidRDefault="006C3DF7" w:rsidP="00FD53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2746B7" w:rsidRPr="000D6CFA" w:rsidTr="002746B7">
        <w:trPr>
          <w:trHeight w:val="482"/>
        </w:trPr>
        <w:tc>
          <w:tcPr>
            <w:tcW w:w="5000" w:type="pct"/>
            <w:gridSpan w:val="2"/>
            <w:vAlign w:val="center"/>
          </w:tcPr>
          <w:p w:rsidR="002746B7" w:rsidRPr="000D6CFA" w:rsidRDefault="002746B7" w:rsidP="00FD53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D6CF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ромежуточная аттестация в форме дифференцированного зачета</w:t>
            </w:r>
            <w:r w:rsidRPr="000D6CF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46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 УП</w:t>
            </w:r>
          </w:p>
        </w:tc>
      </w:tr>
    </w:tbl>
    <w:p w:rsidR="000D6CFA" w:rsidRPr="000D6CFA" w:rsidRDefault="000D6CFA" w:rsidP="000D6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CFA" w:rsidRPr="000D6CFA" w:rsidRDefault="000D6CFA" w:rsidP="000D6CFA">
      <w:pPr>
        <w:keepNext/>
        <w:spacing w:before="240" w:after="24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sectPr w:rsidR="000D6CFA" w:rsidRPr="000D6CFA" w:rsidSect="00D80367">
          <w:footerReference w:type="first" r:id="rId8"/>
          <w:pgSz w:w="11906" w:h="16838"/>
          <w:pgMar w:top="1134" w:right="851" w:bottom="1077" w:left="1418" w:header="708" w:footer="708" w:gutter="0"/>
          <w:cols w:space="708"/>
          <w:titlePg/>
          <w:docGrid w:linePitch="360"/>
        </w:sectPr>
      </w:pPr>
    </w:p>
    <w:p w:rsidR="000D6CFA" w:rsidRPr="000D6CFA" w:rsidRDefault="000D6CFA" w:rsidP="000D6CFA">
      <w:pPr>
        <w:keepNext/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6"/>
        <w:gridCol w:w="7359"/>
        <w:gridCol w:w="940"/>
        <w:gridCol w:w="2820"/>
      </w:tblGrid>
      <w:tr w:rsidR="000D6CFA" w:rsidRPr="00FD53D1" w:rsidTr="00D80367">
        <w:trPr>
          <w:jc w:val="center"/>
        </w:trPr>
        <w:tc>
          <w:tcPr>
            <w:tcW w:w="0" w:type="auto"/>
            <w:vAlign w:val="center"/>
          </w:tcPr>
          <w:p w:rsidR="000D6CFA" w:rsidRPr="00FD53D1" w:rsidRDefault="000D6CFA" w:rsidP="00FD53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0" w:type="auto"/>
            <w:vAlign w:val="center"/>
          </w:tcPr>
          <w:p w:rsidR="000D6CFA" w:rsidRPr="00FD53D1" w:rsidRDefault="000D6CFA" w:rsidP="00FD53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FD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</w:tcPr>
          <w:p w:rsidR="000D6CFA" w:rsidRPr="00FD53D1" w:rsidRDefault="000D6CFA" w:rsidP="00FD53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  <w:p w:rsidR="000D6CFA" w:rsidRPr="00FD53D1" w:rsidRDefault="000D6CFA" w:rsidP="00FD53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часах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0D6CFA" w:rsidRPr="00FD53D1" w:rsidTr="00D80367">
        <w:trPr>
          <w:jc w:val="center"/>
        </w:trPr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gridSpan w:val="2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1.Основы конституционного права  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vMerge w:val="restart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1.1Основы конституционного строя Российской Федерации, правовое положение государственных органов Российской Федерации</w:t>
            </w:r>
          </w:p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01—ОК06.  ПК</w:t>
            </w:r>
            <w:proofErr w:type="gramStart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.3,ПК3.3.ПК3.7 </w:t>
            </w: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 - Основной закон  государства</w:t>
            </w:r>
            <w:proofErr w:type="gramStart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правового статуса личности ,его конституционные  принципы. Основные права и свободы человека и гражданина.</w:t>
            </w:r>
            <w:proofErr w:type="gramStart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защиты прав и свобод человека и гражданина. Законодательные и исполнительные органы власти Российской Федерации</w:t>
            </w:r>
            <w:proofErr w:type="gramStart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Судебная власть и прокурорский надзор в Российской Федерации .Контрольно-надзорные инстанции и силовые структуры Российской Федерации Принципы функционирования органов государственной власти Российской Федерации .Органы государственной власти субъектов Российской Федерации.     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gridSpan w:val="2"/>
            <w:tcBorders>
              <w:bottom w:val="single" w:sz="4" w:space="0" w:color="000000"/>
            </w:tcBorders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2.Формы и средства государственного регулирования правоотношений в профессиональной деятельности  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vMerge w:val="restart"/>
          </w:tcPr>
          <w:p w:rsidR="000D6CFA" w:rsidRPr="00FD53D1" w:rsidRDefault="000D6CFA" w:rsidP="00D8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2.1Правовое регулирование экономических отношений 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ОК01-ОК11,ПК</w:t>
            </w:r>
            <w:proofErr w:type="gramStart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.3, </w:t>
            </w: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виды экономически</w:t>
            </w:r>
            <w:proofErr w:type="gramStart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производственных)отношений .Понятие и признаки предпринимательской деятельности.  Предмет и методы правового регулирования профессиональной деятельности. Основные направления и правовые источники регулирования:  антимонопольное регулирование, стандартизация и сертификация, порядок </w:t>
            </w:r>
            <w:r w:rsid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регистрации. </w:t>
            </w: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vMerge w:val="restart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2.2 Закон РФ «О защите прав потребителей». Общие положения. Государственная и общественная защита прав потребителей.     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ОК01-ОК05,ПК3.7</w:t>
            </w: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vMerge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потребителя на получение информации о товаре, работах и услугах. Ответственность за не предоставление потребителю необходимой информации о товаре, работах и услугах. Нормы о защите прав потребителей.</w:t>
            </w:r>
          </w:p>
        </w:tc>
        <w:tc>
          <w:tcPr>
            <w:tcW w:w="0" w:type="auto"/>
            <w:vMerge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vMerge w:val="restart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2.3.Нормативно-правовое </w:t>
            </w: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регулирование деятельности железнодорожного транспорта 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ОК03- ОК05,ОК10.  </w:t>
            </w: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обеспечения безопасности движения</w:t>
            </w:r>
            <w:proofErr w:type="gramStart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регулирование безопасной работы железнодорожного транспорта. Требования и меры по обеспечению безопасности железнодорожного транспорта</w:t>
            </w:r>
            <w:proofErr w:type="gramStart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и сертификация продукции и услуг на железнодорожном транспорте. Организация работы отрасли в особых обстоятельствах.</w:t>
            </w: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gridSpan w:val="2"/>
          </w:tcPr>
          <w:p w:rsidR="000D6CFA" w:rsidRPr="00FD53D1" w:rsidRDefault="000D6CFA" w:rsidP="00D80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3  Основы  гражданского  права РФ    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vMerge w:val="restart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Тема3.1  .Понятие,  источники и принципы гражданского права РФ  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ОК01-ОК05,ОК11.</w:t>
            </w: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vMerge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 об объектах и субъектах гражданского права. Организационно-правовые формы осуществления предпринимательской деятельности</w:t>
            </w:r>
            <w:r w:rsidR="00D80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(порядок создания, реорганизации  и ликвидации субъектов предпринимательской деятельности)</w:t>
            </w:r>
          </w:p>
        </w:tc>
        <w:tc>
          <w:tcPr>
            <w:tcW w:w="0" w:type="auto"/>
            <w:vMerge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vMerge w:val="restart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3.2 Общее положение о договоре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01-ОК11,ПК1.3-ПК3.1</w:t>
            </w: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vMerge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   значение   и  содержание договора. Классификация договоров.  Заключение договора</w:t>
            </w:r>
            <w:proofErr w:type="gramStart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для изменения и расторжения договора. Перечень основных договоров, предусмотренных ГК РФ. </w:t>
            </w:r>
          </w:p>
        </w:tc>
        <w:tc>
          <w:tcPr>
            <w:tcW w:w="0" w:type="auto"/>
            <w:vMerge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vMerge w:val="restart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3.3. Отдельные виды обязатель</w:t>
            </w:r>
            <w:proofErr w:type="gramStart"/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   в гр</w:t>
            </w:r>
            <w:proofErr w:type="gramEnd"/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ажданском праве, их краткая характеристика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ОК01,ОК06.ОК11</w:t>
            </w: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vMerge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 договора аренды: договор проката,   аренда транспортных средств, зданий и сооружений, предприятий и  финансовая аренда</w:t>
            </w:r>
            <w:proofErr w:type="gramStart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 договора подряда: договоры бытового, строительного подряда, подряд на выполнение проектных и изыскательских работ, подрядные работы для государственных нужд. Транспортные договоры: договоры перевозки грузов, перевозки пассажиров и договор транспортной экспедиции  Кредитные и расчетные обязательства: договор займа,  кредитный договор, факторин</w:t>
            </w:r>
            <w:proofErr w:type="gramStart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под уступку  денежного требования), договоры банковского вклада и банковского счета, расчетные обязательства. Договор поручения</w:t>
            </w:r>
            <w:proofErr w:type="gramStart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возмездного оказания услуг. </w:t>
            </w:r>
          </w:p>
        </w:tc>
        <w:tc>
          <w:tcPr>
            <w:tcW w:w="0" w:type="auto"/>
            <w:vMerge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FA" w:rsidRPr="00FD53D1" w:rsidTr="00D80367">
        <w:trPr>
          <w:jc w:val="center"/>
        </w:trPr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3.4 Гражданско-правовая ответственность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ОК01,ОК03,ОК06.</w:t>
            </w:r>
          </w:p>
        </w:tc>
      </w:tr>
      <w:tr w:rsidR="000D6CFA" w:rsidRPr="00FD53D1" w:rsidTr="00D80367">
        <w:trPr>
          <w:jc w:val="center"/>
        </w:trPr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и виды гражданско-правовой ответственности. Условия </w:t>
            </w: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(состав) гражданско–правовой ответственности. Гражданская ответственность.  Механизмы принуждения к выполнению обязательств.</w:t>
            </w:r>
          </w:p>
        </w:tc>
        <w:tc>
          <w:tcPr>
            <w:tcW w:w="0" w:type="auto"/>
            <w:vMerge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gridSpan w:val="2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4. Основы трудового права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vMerge w:val="restart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4.1. Трудовое право как отрасль 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 материала</w:t>
            </w:r>
          </w:p>
        </w:tc>
        <w:tc>
          <w:tcPr>
            <w:tcW w:w="0" w:type="auto"/>
            <w:vMerge w:val="restart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ОК01-ОК11,ПК3.7.</w:t>
            </w: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vMerge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предмет и метод трудового права. Нормативн</w:t>
            </w:r>
            <w:proofErr w:type="gramStart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правовая база профессиональной  деятельности. Основные принципы правового регулирования трудовых отношений.</w:t>
            </w:r>
          </w:p>
        </w:tc>
        <w:tc>
          <w:tcPr>
            <w:tcW w:w="0" w:type="auto"/>
            <w:vMerge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vMerge w:val="restart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4.2. Правовое регулирование занятости и трудоустройства, трудовой договор 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ОК01,ОК03-ОК 05,  ОК11,ПК3.3,ПК3.7</w:t>
            </w: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vMerge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о занятости и трудоустройстве. Понятие и формы занятости. Роль государственного регулирования  в обеспечении занятости  населения. Стороны и виды трудовых договоров. Права и обязанности  работника и работодателя. Заключение трудового договора и оформление трудовых отношений. Основные  изменения и прекращения трудового договора.</w:t>
            </w:r>
          </w:p>
        </w:tc>
        <w:tc>
          <w:tcPr>
            <w:tcW w:w="0" w:type="auto"/>
            <w:vMerge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vMerge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 1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vMerge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составление трудового договора (контракта) с работниками железнодорожного транспорта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vMerge w:val="restart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4.3. Материальная ответственность сторон трудового договора, трудовая дисциплина 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ОК01-ОК11,ПК3.7</w:t>
            </w: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vMerge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 условия возникновения материальной ответственности. Виды материальной ответственности работника за ущерб, причиненный имуществу работодателя. Материальная ответственность работодателя перед работником</w:t>
            </w:r>
            <w:proofErr w:type="gramStart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возмещения ущерба. Понятие дисциплины труда.  Правила внутреннего трудового  распорядка.  Способы обеспечения дисциплины труда. Дисциплинарная ответственность, виды дисциплинарных взысканий и порядок их наложения.</w:t>
            </w:r>
          </w:p>
        </w:tc>
        <w:tc>
          <w:tcPr>
            <w:tcW w:w="0" w:type="auto"/>
            <w:vMerge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vMerge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 2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vMerge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«Дисциплинарная и материальная ответственность работников железнодорожного транспорта»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vMerge w:val="restart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4.4. Рабочее время и время отдыха работников </w:t>
            </w: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железнодорожного </w:t>
            </w:r>
            <w:proofErr w:type="spellStart"/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транспорта</w:t>
            </w:r>
            <w:proofErr w:type="gramStart"/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,т</w:t>
            </w:r>
            <w:proofErr w:type="gramEnd"/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рудовые</w:t>
            </w:r>
            <w:proofErr w:type="spellEnd"/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споры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ОК01,ОК04,ОК11 .</w:t>
            </w: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vMerge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рабочего времени. Особенности режима работы и отдыха </w:t>
            </w: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 железнодорожного транспорта. Совмещенное  рабочее время. Гарантийное и компенсационные выплаты за работу в особых условиях</w:t>
            </w:r>
            <w:proofErr w:type="gramStart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рабочего времени сотрудников, обучающихся в учебных заведениях среднего профессионального и высшего образования. Законодательство о трудовых спорах. Понятие и виды трудовых споров. Порядок разрешения индивидуальных трудовых споров</w:t>
            </w:r>
            <w:proofErr w:type="gramStart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трудовые споры и порядок их рассмотрения. Подведомственность трудовых споров суду</w:t>
            </w:r>
            <w:proofErr w:type="gramStart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обращения за разрешение трудовых споров. Возложение ответственности на должностное лицо, виновное в увольнении работника. 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vMerge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  3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vMerge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свих прав в соответствии с трудовым законодательством при принятии решения по трудовым спорам.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Административное право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D6CFA" w:rsidRPr="00FD53D1" w:rsidRDefault="00F7138B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020" w:rsidRPr="00FD53D1" w:rsidTr="00D80367">
        <w:trPr>
          <w:jc w:val="center"/>
        </w:trPr>
        <w:tc>
          <w:tcPr>
            <w:tcW w:w="0" w:type="auto"/>
            <w:vMerge w:val="restart"/>
          </w:tcPr>
          <w:p w:rsidR="00FF0020" w:rsidRPr="00FD53D1" w:rsidRDefault="00FF0020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5.1.  Административные правонарушения и административная ответственность. </w:t>
            </w:r>
          </w:p>
        </w:tc>
        <w:tc>
          <w:tcPr>
            <w:tcW w:w="0" w:type="auto"/>
          </w:tcPr>
          <w:p w:rsidR="00FF0020" w:rsidRPr="00FD53D1" w:rsidRDefault="00FF0020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</w:tcPr>
          <w:p w:rsidR="00FF0020" w:rsidRPr="00FD53D1" w:rsidRDefault="003A57E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FF0020" w:rsidRPr="00FD53D1" w:rsidRDefault="00FF0020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ОК01-ОК11,ПК3.4</w:t>
            </w:r>
          </w:p>
        </w:tc>
      </w:tr>
      <w:tr w:rsidR="00FF0020" w:rsidRPr="00FD53D1" w:rsidTr="00D80367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F0020" w:rsidRPr="00FD53D1" w:rsidRDefault="00FF0020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0020" w:rsidRPr="00FD53D1" w:rsidRDefault="00FF0020" w:rsidP="00D80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Сущность, предмет и метод административного права. Понятие и признаки административной  ответственности. Административное правонарушение: субъекты и объекты. Виды административных      наказаний и порядок их наложения.  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F0020" w:rsidRPr="00FD53D1" w:rsidRDefault="00FF0020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F0020" w:rsidRPr="00FD53D1" w:rsidRDefault="00FF0020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7EA" w:rsidRPr="00FD53D1" w:rsidTr="00D80367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3A57EA" w:rsidRPr="00FD53D1" w:rsidRDefault="003A57E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57EA" w:rsidRPr="00FD53D1" w:rsidRDefault="003A57E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Пенсии.</w:t>
            </w:r>
          </w:p>
          <w:p w:rsidR="003A57EA" w:rsidRPr="00FD53D1" w:rsidRDefault="003A57E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понятия. Пенсия, государственная пенсионная система в РФ. Пенсионный фонд РФ и его функции, негосударственные пенсионные фонды, трудовая и социальная пенсия, корпоративная пенсия, инструменты для увеличения размера пенсионных накоплений.</w:t>
            </w:r>
          </w:p>
          <w:p w:rsidR="003A57EA" w:rsidRPr="00FD53D1" w:rsidRDefault="003A57E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 и тренинги в рамках внеурочной деятельности.</w:t>
            </w: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5DFC" w:rsidRPr="00FD53D1" w:rsidRDefault="003A57E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Тренинг. Развитие навыков планирования и прогнозирования. Мини-исследование. «Сравнительный анализ доступных финансовых инструментов, используемых для формирования пенсионных накоплений».</w:t>
            </w:r>
          </w:p>
          <w:p w:rsidR="00555DFC" w:rsidRPr="00FD53D1" w:rsidRDefault="00555DFC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Налоги.</w:t>
            </w:r>
          </w:p>
          <w:p w:rsidR="00E078D3" w:rsidRPr="00FD53D1" w:rsidRDefault="003A57E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DFC"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понятия. </w:t>
            </w:r>
            <w:proofErr w:type="gramStart"/>
            <w:r w:rsidR="00E078D3"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Налоговый кодекс РФ, налоги, виды налогов, субъект, предмет и объект налогообложения, ставка налога, сумма </w:t>
            </w:r>
            <w:r w:rsidR="00E078D3"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налога, системы налогообложения (пропорциональная, прогрессивная, регрессивная), налоговые льготы, порядок уплаты налога, налоговая декларация, налоговые вычеты.   </w:t>
            </w:r>
            <w:proofErr w:type="gramEnd"/>
          </w:p>
          <w:p w:rsidR="00E078D3" w:rsidRPr="00FD53D1" w:rsidRDefault="00E078D3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 и тренинги в рамках внеурочной деятельности.</w:t>
            </w: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57EA" w:rsidRPr="00FD53D1" w:rsidRDefault="00E078D3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Практикум. Формирование практических навыков по оптимизации личного бюджета в части применения налоговых льгот с целью уменьшения налоговых </w:t>
            </w:r>
            <w:proofErr w:type="gramStart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</w:t>
            </w:r>
            <w:proofErr w:type="gramEnd"/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физических лиц. Практикум. Формирование практических навыков получения социальных и имущественных налоговых вычетов, как инструмента сокращения затрат на приобретение  имущества, образование, лечение и др. </w:t>
            </w:r>
            <w:r w:rsidR="003A57EA"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57EA" w:rsidRPr="00FD53D1" w:rsidRDefault="003A57E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A57EA" w:rsidRPr="00FD53D1" w:rsidRDefault="003A57E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ОК01-ОК11,ПК3.4</w:t>
            </w: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2746B7" w:rsidRPr="00FD53D1" w:rsidRDefault="006C3DF7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Самостоятельная работа </w:t>
            </w:r>
            <w:proofErr w:type="gramStart"/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46B7" w:rsidRPr="00FD53D1" w:rsidTr="00D80367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2746B7" w:rsidRPr="00FD53D1" w:rsidRDefault="002746B7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в форме дифференцированного зачета</w:t>
            </w:r>
            <w:r w:rsidRPr="00FD53D1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53D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по УП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746B7" w:rsidRPr="00FD53D1" w:rsidRDefault="002746B7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746B7" w:rsidRPr="00FD53D1" w:rsidRDefault="002746B7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6CFA" w:rsidRPr="00FD53D1" w:rsidTr="00D80367">
        <w:trPr>
          <w:jc w:val="center"/>
        </w:trPr>
        <w:tc>
          <w:tcPr>
            <w:tcW w:w="0" w:type="auto"/>
            <w:gridSpan w:val="2"/>
          </w:tcPr>
          <w:p w:rsidR="000D6CFA" w:rsidRPr="00FD53D1" w:rsidRDefault="000D6CFA" w:rsidP="00FD5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3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0" w:type="auto"/>
          </w:tcPr>
          <w:p w:rsidR="000D6CFA" w:rsidRPr="00FD53D1" w:rsidRDefault="000D6CFA" w:rsidP="00FD5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6CFA" w:rsidRPr="000D6CFA" w:rsidRDefault="000D6CFA" w:rsidP="000D6C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0D6C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0D6C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0D6C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0D6C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0D6C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0D6C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0D6C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0D6CF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sectPr w:rsidR="000D6CFA" w:rsidRPr="000D6CFA" w:rsidSect="00D80367">
          <w:pgSz w:w="16838" w:h="11906" w:orient="landscape"/>
          <w:pgMar w:top="1134" w:right="851" w:bottom="1077" w:left="1418" w:header="709" w:footer="709" w:gutter="0"/>
          <w:cols w:space="708"/>
          <w:titlePg/>
          <w:docGrid w:linePitch="360"/>
        </w:sectPr>
      </w:pPr>
    </w:p>
    <w:p w:rsidR="000D6CFA" w:rsidRPr="000D6CFA" w:rsidRDefault="000D6CFA" w:rsidP="00D8036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0D6CFA" w:rsidRPr="000D6CFA" w:rsidRDefault="000D6CFA" w:rsidP="00FD53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6CFA" w:rsidRPr="000D6CFA" w:rsidRDefault="000D6CFA" w:rsidP="00FD5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Материально-техническое обеспечение</w:t>
      </w:r>
    </w:p>
    <w:p w:rsidR="000D6CFA" w:rsidRPr="000D6CFA" w:rsidRDefault="000D6CFA" w:rsidP="00FD53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программы учебной дисциплины  должны быть предусмотрены следующие специальные помещения:</w:t>
      </w:r>
    </w:p>
    <w:p w:rsidR="000D6CFA" w:rsidRPr="000D6CFA" w:rsidRDefault="000D6CFA" w:rsidP="00FD53D1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6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Кабинет «Правовое обеспечение профессиональной деятельности»,  </w:t>
      </w:r>
      <w:r w:rsidRPr="000D6C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6CFA">
        <w:rPr>
          <w:rFonts w:ascii="Times New Roman" w:eastAsia="Times New Roman" w:hAnsi="Times New Roman" w:cs="Times New Roman"/>
          <w:sz w:val="28"/>
          <w:szCs w:val="28"/>
        </w:rPr>
        <w:t>оснащенная</w:t>
      </w:r>
      <w:proofErr w:type="gramEnd"/>
      <w:r w:rsidRPr="000D6CF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0D6CFA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борудованием и техническими средствами.  </w:t>
      </w:r>
    </w:p>
    <w:p w:rsidR="000D6CFA" w:rsidRPr="000D6CFA" w:rsidRDefault="000D6CFA" w:rsidP="00FD53D1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6CFA">
        <w:rPr>
          <w:rFonts w:ascii="Times New Roman" w:eastAsia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0D6CFA" w:rsidRPr="000D6CFA" w:rsidRDefault="000D6CFA" w:rsidP="00FD53D1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6CFA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0D6CFA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0D6CF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D6CFA" w:rsidRPr="000D6CFA" w:rsidRDefault="000D6CFA" w:rsidP="00FD53D1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6CFA">
        <w:rPr>
          <w:rFonts w:ascii="Times New Roman" w:eastAsia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0D6CFA" w:rsidRPr="000D6CFA" w:rsidRDefault="000D6CFA" w:rsidP="00FD53D1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6CFA">
        <w:rPr>
          <w:rFonts w:ascii="Times New Roman" w:eastAsia="Times New Roman" w:hAnsi="Times New Roman" w:cs="Times New Roman"/>
          <w:bCs/>
          <w:sz w:val="28"/>
          <w:szCs w:val="28"/>
        </w:rPr>
        <w:t xml:space="preserve">- учебно-методические материалы по дисциплине. </w:t>
      </w:r>
    </w:p>
    <w:p w:rsidR="000D6CFA" w:rsidRPr="000D6CFA" w:rsidRDefault="000D6CFA" w:rsidP="00FD53D1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6CFA" w:rsidRPr="000D6CFA" w:rsidRDefault="000D6CFA" w:rsidP="00FD53D1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bCs/>
          <w:sz w:val="28"/>
          <w:szCs w:val="28"/>
        </w:rPr>
        <w:t>Технические средства обучения: компьютер, мультимедийное оборудование.</w:t>
      </w:r>
      <w:r w:rsidRPr="000D6C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D6CFA" w:rsidRPr="000D6CFA" w:rsidRDefault="000D6CFA" w:rsidP="00FD53D1">
      <w:pPr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D6CFA" w:rsidRPr="000D6CFA" w:rsidRDefault="000D6CFA" w:rsidP="00FD53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CFA" w:rsidRPr="000D6CFA" w:rsidRDefault="000D6CFA" w:rsidP="00FD53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:rsidR="000D6CFA" w:rsidRPr="000D6CFA" w:rsidRDefault="000D6CFA" w:rsidP="00FD53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реализации программы библиотечный фонд образовательной организации укомплектован п</w:t>
      </w: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ечатными и (или) электронными изданиями, рекомендованными для использования в образовательном процессе </w:t>
      </w:r>
    </w:p>
    <w:p w:rsidR="000D6CFA" w:rsidRPr="000D6CFA" w:rsidRDefault="000D6CFA" w:rsidP="00FD53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0D6CFA" w:rsidRPr="000D6CFA" w:rsidRDefault="000D6CFA" w:rsidP="00FD5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CFA" w:rsidRPr="000D6CFA" w:rsidRDefault="002746B7" w:rsidP="00FD53D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3.2.1</w:t>
      </w:r>
      <w:r w:rsidR="000D6CFA" w:rsidRPr="000D6C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учебная литература</w:t>
      </w:r>
    </w:p>
    <w:p w:rsidR="000D6CFA" w:rsidRPr="000D6CFA" w:rsidRDefault="000D6CFA" w:rsidP="00FD5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</w:t>
      </w:r>
      <w:proofErr w:type="spellStart"/>
      <w:r w:rsidRPr="000D6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Плахотич</w:t>
      </w:r>
      <w:proofErr w:type="spellEnd"/>
      <w:r w:rsidRPr="000D6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С.А. Транспортное право (железнодорожный транспорт)</w:t>
      </w:r>
    </w:p>
    <w:p w:rsidR="000D6CFA" w:rsidRPr="000D6CFA" w:rsidRDefault="000D6CFA" w:rsidP="00FD5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 ресурс: учебное пособие / С.А. </w:t>
      </w:r>
      <w:proofErr w:type="spellStart"/>
      <w:r w:rsidRPr="000D6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Плахотич</w:t>
      </w:r>
      <w:proofErr w:type="spellEnd"/>
      <w:r w:rsidRPr="000D6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0D6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И.С.Фролова</w:t>
      </w:r>
      <w:proofErr w:type="spellEnd"/>
      <w:r w:rsidRPr="000D6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М.ФГБОУ УМЦ ЖДТ,2015. -335с. Режим доступа: //</w:t>
      </w:r>
      <w:r w:rsidRPr="000D6CF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https</w:t>
      </w:r>
      <w:r w:rsidRPr="000D6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proofErr w:type="spellStart"/>
      <w:r w:rsidRPr="000D6CF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umczdt</w:t>
      </w:r>
      <w:proofErr w:type="spellEnd"/>
      <w:r w:rsidRPr="000D6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0D6CF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2746B7" w:rsidRDefault="000D6CFA" w:rsidP="00FD5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D6CFA" w:rsidRPr="002746B7" w:rsidRDefault="002746B7" w:rsidP="00FD5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3.2.2</w:t>
      </w:r>
      <w:r w:rsidR="000D6CFA" w:rsidRPr="000D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Печатные издания</w:t>
      </w:r>
    </w:p>
    <w:p w:rsidR="000D6CFA" w:rsidRPr="000D6CFA" w:rsidRDefault="000D6CFA" w:rsidP="00FD5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Гуреева</w:t>
      </w:r>
      <w:proofErr w:type="spellEnd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М.А. Правовое обеспечение профессиональной деятельности</w:t>
      </w:r>
      <w:proofErr w:type="gramStart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учеб-ник / М.А. </w:t>
      </w:r>
      <w:proofErr w:type="spellStart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Гуреева</w:t>
      </w:r>
      <w:proofErr w:type="spellEnd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2-е изд., стер. – М.</w:t>
      </w:r>
      <w:proofErr w:type="gramStart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КНОРУС, 2016. – 220 с. – (Среднее проф. </w:t>
      </w:r>
      <w:proofErr w:type="spellStart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обра-зование</w:t>
      </w:r>
      <w:proofErr w:type="spellEnd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D6CFA" w:rsidRPr="000D6CFA" w:rsidRDefault="000D6CFA" w:rsidP="00FD5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0D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Егиазаров</w:t>
      </w:r>
      <w:proofErr w:type="spellEnd"/>
      <w:r w:rsidRPr="000D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В. А.</w:t>
      </w: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Транспортное право: Учебник / </w:t>
      </w:r>
      <w:proofErr w:type="spellStart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Егиазаров</w:t>
      </w:r>
      <w:proofErr w:type="spellEnd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- 8-е изд., доп. и </w:t>
      </w:r>
      <w:proofErr w:type="spellStart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Юстицинформ</w:t>
      </w:r>
      <w:proofErr w:type="spellEnd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 – 736 с.</w:t>
      </w:r>
    </w:p>
    <w:p w:rsidR="000D6CFA" w:rsidRPr="000D6CFA" w:rsidRDefault="000D6CFA" w:rsidP="00FD5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Румынина</w:t>
      </w:r>
      <w:proofErr w:type="spellEnd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В.В. Правовое обеспечение профессиональной деятельности : учеб-ник для студ. учреждений сред</w:t>
      </w:r>
      <w:proofErr w:type="gramStart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роф. образования / В. В. </w:t>
      </w:r>
      <w:proofErr w:type="spellStart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Румынина</w:t>
      </w:r>
      <w:proofErr w:type="spellEnd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12-е изд., стер. – М.</w:t>
      </w:r>
      <w:proofErr w:type="gramStart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центр «Академия», 2017. – 224 с.</w:t>
      </w:r>
    </w:p>
    <w:p w:rsidR="000D6CFA" w:rsidRPr="000D6CFA" w:rsidRDefault="002746B7" w:rsidP="00FD5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3.2.3</w:t>
      </w:r>
      <w:r w:rsidR="000D6CFA" w:rsidRPr="000D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Электронные издания (электронные ресурсы)</w:t>
      </w:r>
    </w:p>
    <w:p w:rsidR="000D6CFA" w:rsidRPr="002746B7" w:rsidRDefault="000D6CFA" w:rsidP="00FD5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6B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4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Румынина</w:t>
      </w:r>
      <w:proofErr w:type="spellEnd"/>
      <w:r w:rsidRPr="00274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В. В.</w:t>
      </w:r>
      <w:r w:rsidRPr="0027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Правовое обеспечение профессиональной деятельности [Электронный ресурс]: учебник для студ. учреждений сред. проф. образования / В. В. </w:t>
      </w:r>
      <w:proofErr w:type="spellStart"/>
      <w:r w:rsidRPr="002746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Румынина</w:t>
      </w:r>
      <w:proofErr w:type="spellEnd"/>
      <w:proofErr w:type="gramStart"/>
      <w:r w:rsidRPr="0027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– </w:t>
      </w:r>
      <w:proofErr w:type="gramEnd"/>
      <w:r w:rsidRPr="0027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Издательский центр «Академия», 2013. </w:t>
      </w:r>
    </w:p>
    <w:p w:rsidR="000D6CFA" w:rsidRPr="002746B7" w:rsidRDefault="000D6CFA" w:rsidP="00FD53D1">
      <w:pPr>
        <w:shd w:val="clear" w:color="auto" w:fill="FFFFFF"/>
        <w:tabs>
          <w:tab w:val="left" w:pos="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746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Клюка, О.Е.</w:t>
      </w:r>
      <w:r w:rsidRPr="00274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Правовое обеспечение профессиональной деятельности на железнодорожном транспорте. [Электронный ресурс] — М.:  ФГБОУ «УМЦ ЖДТ», 2006. </w:t>
      </w:r>
    </w:p>
    <w:p w:rsidR="000D6CFA" w:rsidRPr="000D6CFA" w:rsidRDefault="000D6CFA" w:rsidP="00D8036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0D6C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0D6CFA" w:rsidRPr="000D6CFA" w:rsidRDefault="000D6CFA" w:rsidP="00FD5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6CFA" w:rsidRPr="000D6CFA" w:rsidRDefault="000D6CFA" w:rsidP="00FD53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0D6CFA" w:rsidRPr="000D6CFA" w:rsidRDefault="000D6CFA" w:rsidP="00FD53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D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 в соответствии с фондом оценочных средств по учебной дисциплине.</w:t>
      </w:r>
    </w:p>
    <w:p w:rsidR="000D6CFA" w:rsidRPr="000D6CFA" w:rsidRDefault="000D6CFA" w:rsidP="000D6C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5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0"/>
        <w:gridCol w:w="2922"/>
      </w:tblGrid>
      <w:tr w:rsidR="002746B7" w:rsidRPr="00D80367" w:rsidTr="002746B7">
        <w:trPr>
          <w:tblHeader/>
        </w:trPr>
        <w:tc>
          <w:tcPr>
            <w:tcW w:w="3370" w:type="pct"/>
            <w:vAlign w:val="center"/>
          </w:tcPr>
          <w:p w:rsidR="002746B7" w:rsidRPr="00D80367" w:rsidRDefault="002746B7" w:rsidP="000D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8036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Результаты обучения</w:t>
            </w:r>
          </w:p>
          <w:p w:rsidR="002746B7" w:rsidRPr="00D80367" w:rsidRDefault="002746B7" w:rsidP="000D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630" w:type="pct"/>
            <w:vAlign w:val="center"/>
          </w:tcPr>
          <w:p w:rsidR="002746B7" w:rsidRPr="00D80367" w:rsidRDefault="002746B7" w:rsidP="000D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803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Методы оценки</w:t>
            </w:r>
          </w:p>
        </w:tc>
      </w:tr>
      <w:tr w:rsidR="002746B7" w:rsidRPr="00D80367" w:rsidTr="002746B7">
        <w:tc>
          <w:tcPr>
            <w:tcW w:w="3370" w:type="pct"/>
          </w:tcPr>
          <w:p w:rsidR="002746B7" w:rsidRPr="00D80367" w:rsidRDefault="002746B7" w:rsidP="000D6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D80367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Уметь: </w:t>
            </w:r>
          </w:p>
          <w:p w:rsidR="002746B7" w:rsidRPr="00D80367" w:rsidRDefault="002746B7" w:rsidP="000D6CFA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8036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 защищать свои права в соответствии с трудовым законодательством;  </w:t>
            </w:r>
          </w:p>
          <w:p w:rsidR="002746B7" w:rsidRPr="00D80367" w:rsidRDefault="002746B7" w:rsidP="000D6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8036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-осуществлять профессиональную деятельность в соответствии с законодательством Р</w:t>
            </w:r>
            <w:proofErr w:type="gramStart"/>
            <w:r w:rsidRPr="00D8036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Ф(</w:t>
            </w:r>
            <w:proofErr w:type="gramEnd"/>
            <w:r w:rsidRPr="00D8036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анализировать и оценивать результаты и последствия деятельности(бездействия)справой точки зрения;использоватьнормативно-правовыеакты,регламентирующиепрофессиональную деятельность;   </w:t>
            </w:r>
          </w:p>
          <w:p w:rsidR="002746B7" w:rsidRPr="00D80367" w:rsidRDefault="002746B7" w:rsidP="000D6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8036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-законодательные акты и иные нормативные документы</w:t>
            </w:r>
            <w:proofErr w:type="gramStart"/>
            <w:r w:rsidRPr="00D8036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,</w:t>
            </w:r>
            <w:proofErr w:type="gramEnd"/>
            <w:r w:rsidRPr="00D8036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регулирующие правоотношения в процессе профессиональной деятельности.</w:t>
            </w:r>
          </w:p>
          <w:p w:rsidR="002746B7" w:rsidRPr="00D80367" w:rsidRDefault="002746B7" w:rsidP="000D6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8036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Знания:- </w:t>
            </w:r>
          </w:p>
          <w:p w:rsidR="002746B7" w:rsidRPr="00D80367" w:rsidRDefault="002746B7" w:rsidP="00D803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8036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–права и обязанности работников в сфере профессиональной деятельности. </w:t>
            </w:r>
          </w:p>
        </w:tc>
        <w:tc>
          <w:tcPr>
            <w:tcW w:w="1630" w:type="pct"/>
          </w:tcPr>
          <w:p w:rsidR="002746B7" w:rsidRPr="00D80367" w:rsidRDefault="002746B7" w:rsidP="000D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  <w:p w:rsidR="002746B7" w:rsidRPr="00D80367" w:rsidRDefault="002746B7" w:rsidP="000D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8036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Метод оценки </w:t>
            </w:r>
            <w:proofErr w:type="gramStart"/>
            <w:r w:rsidRPr="00D8036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:-</w:t>
            </w:r>
            <w:proofErr w:type="gramEnd"/>
            <w:r w:rsidRPr="00D8036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различные виды устного опроса ,тестовый контроль экспертное наблюдение за деятельностью обучающихся на практических занятиях</w:t>
            </w:r>
          </w:p>
          <w:p w:rsidR="002746B7" w:rsidRPr="00D80367" w:rsidRDefault="002746B7" w:rsidP="000D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8036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Метод оценк</w:t>
            </w:r>
            <w:proofErr w:type="gramStart"/>
            <w:r w:rsidRPr="00D8036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и-</w:t>
            </w:r>
            <w:proofErr w:type="gramEnd"/>
            <w:r w:rsidRPr="00D8036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оценка результатов выполнения практических занятий</w:t>
            </w:r>
          </w:p>
          <w:p w:rsidR="002746B7" w:rsidRPr="00D80367" w:rsidRDefault="002746B7" w:rsidP="00D803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D80367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</w:p>
        </w:tc>
      </w:tr>
    </w:tbl>
    <w:p w:rsidR="001A7ECD" w:rsidRDefault="001A7ECD" w:rsidP="00FD53D1"/>
    <w:sectPr w:rsidR="001A7ECD" w:rsidSect="00D80367">
      <w:pgSz w:w="11906" w:h="16838"/>
      <w:pgMar w:top="1134" w:right="851" w:bottom="107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72" w:rsidRDefault="004F5272" w:rsidP="000D6CFA">
      <w:pPr>
        <w:spacing w:after="0" w:line="240" w:lineRule="auto"/>
      </w:pPr>
      <w:r>
        <w:separator/>
      </w:r>
    </w:p>
  </w:endnote>
  <w:endnote w:type="continuationSeparator" w:id="0">
    <w:p w:rsidR="004F5272" w:rsidRDefault="004F5272" w:rsidP="000D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CFA" w:rsidRDefault="000D6CF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72" w:rsidRDefault="004F5272" w:rsidP="000D6CFA">
      <w:pPr>
        <w:spacing w:after="0" w:line="240" w:lineRule="auto"/>
      </w:pPr>
      <w:r>
        <w:separator/>
      </w:r>
    </w:p>
  </w:footnote>
  <w:footnote w:type="continuationSeparator" w:id="0">
    <w:p w:rsidR="004F5272" w:rsidRDefault="004F5272" w:rsidP="000D6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1203C63"/>
    <w:multiLevelType w:val="hybridMultilevel"/>
    <w:tmpl w:val="D3FE78AC"/>
    <w:lvl w:ilvl="0" w:tplc="01E4E6C6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B9606B9"/>
    <w:multiLevelType w:val="hybridMultilevel"/>
    <w:tmpl w:val="F53A3858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13C30"/>
    <w:multiLevelType w:val="multilevel"/>
    <w:tmpl w:val="9B7C4F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4">
    <w:nsid w:val="77FF42A8"/>
    <w:multiLevelType w:val="multilevel"/>
    <w:tmpl w:val="B386A3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FA"/>
    <w:rsid w:val="000936AA"/>
    <w:rsid w:val="0009409B"/>
    <w:rsid w:val="000D6CFA"/>
    <w:rsid w:val="00180830"/>
    <w:rsid w:val="00181B9E"/>
    <w:rsid w:val="001A7ECD"/>
    <w:rsid w:val="001B3229"/>
    <w:rsid w:val="002746B7"/>
    <w:rsid w:val="00316A18"/>
    <w:rsid w:val="003332DA"/>
    <w:rsid w:val="003A57EA"/>
    <w:rsid w:val="003C25CC"/>
    <w:rsid w:val="003F0D01"/>
    <w:rsid w:val="00421CC9"/>
    <w:rsid w:val="00464510"/>
    <w:rsid w:val="00494774"/>
    <w:rsid w:val="004F0703"/>
    <w:rsid w:val="004F5272"/>
    <w:rsid w:val="00555DFC"/>
    <w:rsid w:val="006C3DF7"/>
    <w:rsid w:val="006D1554"/>
    <w:rsid w:val="00746D13"/>
    <w:rsid w:val="00806550"/>
    <w:rsid w:val="0082630C"/>
    <w:rsid w:val="00A54D25"/>
    <w:rsid w:val="00AF099E"/>
    <w:rsid w:val="00B143F2"/>
    <w:rsid w:val="00B729B7"/>
    <w:rsid w:val="00C32271"/>
    <w:rsid w:val="00C643DA"/>
    <w:rsid w:val="00D80367"/>
    <w:rsid w:val="00D8465F"/>
    <w:rsid w:val="00DC22D7"/>
    <w:rsid w:val="00E078D3"/>
    <w:rsid w:val="00E12283"/>
    <w:rsid w:val="00E72D60"/>
    <w:rsid w:val="00E8699C"/>
    <w:rsid w:val="00F7138B"/>
    <w:rsid w:val="00F87CC4"/>
    <w:rsid w:val="00FD53D1"/>
    <w:rsid w:val="00FD644B"/>
    <w:rsid w:val="00FF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D6C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D6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Знак, Знак"/>
    <w:basedOn w:val="a"/>
    <w:link w:val="a6"/>
    <w:uiPriority w:val="99"/>
    <w:qFormat/>
    <w:rsid w:val="000D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Текст сноски Знак"/>
    <w:aliases w:val="Знак Знак, Знак Знак"/>
    <w:basedOn w:val="a0"/>
    <w:link w:val="a5"/>
    <w:uiPriority w:val="99"/>
    <w:rsid w:val="000D6C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uiPriority w:val="99"/>
    <w:rsid w:val="000D6CF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D6C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D6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Знак, Знак"/>
    <w:basedOn w:val="a"/>
    <w:link w:val="a6"/>
    <w:uiPriority w:val="99"/>
    <w:qFormat/>
    <w:rsid w:val="000D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Текст сноски Знак"/>
    <w:aliases w:val="Знак Знак, Знак Знак"/>
    <w:basedOn w:val="a0"/>
    <w:link w:val="a5"/>
    <w:uiPriority w:val="99"/>
    <w:rsid w:val="000D6C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uiPriority w:val="99"/>
    <w:rsid w:val="000D6CF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Куфина Ирина</cp:lastModifiedBy>
  <cp:revision>10</cp:revision>
  <dcterms:created xsi:type="dcterms:W3CDTF">2020-05-01T04:43:00Z</dcterms:created>
  <dcterms:modified xsi:type="dcterms:W3CDTF">2020-08-19T12:27:00Z</dcterms:modified>
</cp:coreProperties>
</file>